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Приложение N 9</w:t>
      </w:r>
      <w:r>
        <w:rPr>
          <w:rStyle w:val="s10"/>
          <w:b/>
          <w:bCs/>
          <w:color w:val="22272F"/>
          <w:sz w:val="17"/>
          <w:szCs w:val="17"/>
          <w:shd w:val="clear" w:color="auto" w:fill="FFFFFF"/>
          <w:vertAlign w:val="superscript"/>
        </w:rPr>
        <w:t> 1</w:t>
      </w:r>
      <w:r>
        <w:rPr>
          <w:color w:val="22272F"/>
          <w:sz w:val="17"/>
          <w:szCs w:val="17"/>
          <w:shd w:val="clear" w:color="auto" w:fill="FFFFFF"/>
          <w:vertAlign w:val="superscript"/>
        </w:rPr>
        <w:t> </w:t>
      </w:r>
      <w:r>
        <w:rPr>
          <w:color w:val="22272F"/>
          <w:sz w:val="17"/>
          <w:szCs w:val="17"/>
          <w:shd w:val="clear" w:color="auto" w:fill="FFFFFF"/>
          <w:vertAlign w:val="superscript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к </w:t>
      </w:r>
      <w:hyperlink r:id="rId5" w:anchor="/document/187740/entry/4000" w:history="1">
        <w:r>
          <w:rPr>
            <w:rStyle w:val="Hyperlink"/>
            <w:b/>
            <w:bCs/>
            <w:color w:val="3272C0"/>
            <w:sz w:val="23"/>
            <w:szCs w:val="23"/>
            <w:u w:val="none"/>
            <w:shd w:val="clear" w:color="auto" w:fill="FFFFFF"/>
          </w:rPr>
          <w:t>Правилам</w:t>
        </w:r>
      </w:hyperlink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 технологического</w:t>
      </w:r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 xml:space="preserve">присоединения </w:t>
      </w:r>
      <w:proofErr w:type="spellStart"/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энергопринимающих</w:t>
      </w:r>
      <w:proofErr w:type="spellEnd"/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устройств потребителей</w:t>
      </w:r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электрической энергии, объектов</w:t>
      </w:r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по производству электрической</w:t>
      </w:r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энергии, а также объектов</w:t>
      </w:r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электросетевого хозяйства,</w:t>
      </w:r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принадлежащих сетевым организациям</w:t>
      </w:r>
      <w:r>
        <w:rPr>
          <w:b/>
          <w:bCs/>
          <w:color w:val="22272F"/>
          <w:sz w:val="23"/>
          <w:szCs w:val="23"/>
          <w:shd w:val="clear" w:color="auto" w:fill="FFFFFF"/>
        </w:rPr>
        <w:br/>
      </w: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>и иным лицам, к электрическим сетям</w:t>
      </w:r>
    </w:p>
    <w:p w:rsidR="00EE1708" w:rsidRDefault="00EE170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bookmarkStart w:id="0" w:name="_GoBack"/>
      <w:bookmarkEnd w:id="0"/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ТИПОВОЙ ДОГОВОР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 осуществлении технологического присоединения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 электрическим сетям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(для юридических лиц или индивидуальных предпринимателей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в целях технологического присоединения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устройств, максимальная мощность которых составляет до 15 кВт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включительно (с учетом ранее присоединенных в данной точке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присоединения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устройств), и (или) объектов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spellStart"/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___________________________              "___" ________________ 20 г.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(место заключения договора)               (дата заключения договора)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(наименование сетевой организации)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именуемая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дальнейшем сетевой организацией, в лице 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(должность, фамилия, имя, отчество)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______________________________________________,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(наименование и реквизиты документа)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одной стороны, и _____________________________________________________,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юридического лица, номер записи 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Едином государственном реестре юридических лиц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указанием фамилии, имени, отчества лица, действующего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от имени этого юридического лица, наименования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реквизитов документа, на основании которого он действует,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либо фамилия, имя, отчество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индивидуального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предпринимателя, номер записи в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Едином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государственном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реестре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индивидуальных предпринимателей и дата ее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внесения в реестр)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именуемый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дальнейшем заявителем, с  другой  стороны,  вместе  именуемые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I. Предмет договора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По настоящему договору  сетевая  организация  принимает  на  себя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обязательства    по    осуществлению    технологического    присоединения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 (или)  объектов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заявителя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(далее - технологическое присоединение) 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(наименование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том  числе  по  обеспечению  готовности  объектов  электросетевого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хозяйства (включая их  проектирование,  строительство,   реконструкцию)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присоединению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устройств,  урегулированию   отношений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третьими  лицами  в  случае  необходимости  строительства  (модернизации)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такими  лицами  принадлежащих  им  объектов   электросетевого   хозяйства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устройств,  объектов  электроэнергетики),  с   учетом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следующих характеристик: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максимальная  мощность  присоединяемых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 (кВт);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категория надежности ________;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класс  напряжения  электрических  сетей,  к  которым  осуществляется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присоединение ________ (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максимальная   мощность   ранее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присоединенных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устройств _________ (кВт)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6" w:anchor="/document/187740/entry/491111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1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максимальная   мощность   присоединяемых   объектов 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 (кВт);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максимальная мощность ранее присоединенных  объектов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 (кВт)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7" w:anchor="/document/187740/entry/491111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1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Заявитель   обязуется   оплатить    расходы    на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присоединение в соответствии с условиями настоящего договора.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Технологическое  присоединение  необходимо  для  электроснабжения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(наименование объектов заявителя)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расположенных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(которые будут располагаться) 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(место нахождения объектов заявителя)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Точка (точки) присоединения указана в  технических  условиях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присоединения к электрическим  сетям  (далее  -  технические   условия)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располагается на расстоянии ______ метров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8" w:anchor="/document/187740/entry/491222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границы участка  заявителя,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котором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располагаются  (будут  располагаться)  присоединяемые  объекты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заявителя.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 Технические  условия  являются  неотъемлемой  частью  настоящего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договора и приведены в приложении.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Срок действия технических условий составляет _______ года (лет)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9" w:anchor="/document/187740/entry/491333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3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дня заключения настоящего договора.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Срок выполнения  мероприятий  по  технологическому  присоединению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составляет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0" w:anchor="/document/187740/entry/491444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4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 со дня заключения настоящего договора.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II. Обязанности сторон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Сетевая организация обязуется: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технологическому присоединению (включая урегулирование отношений с  иными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лицами)  до  границ  участка,  на  котором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расположены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присоединяемые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устройства и (или)  объекты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заявителя,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технических условиях;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течение ____ рабочих дней со дня  уведомления  заявителем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сетевой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 о выполнении  им  технических  условий  осуществить  проверку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выполнения технических условий заявителем, провести с участием  заявителя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осмотр (обследование) присоединяемых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 (или)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не  позднее  ________  рабочих  дней  со  дня     проведения осмотра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(обследования),  указанного  в  </w:t>
      </w:r>
      <w:hyperlink r:id="rId11" w:anchor="/document/187740/entry/491063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абзаце  третьем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   пункта,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соблюдением  срока,  установленного  </w:t>
      </w:r>
      <w:hyperlink r:id="rId12" w:anchor="/document/187740/entry/491005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пунктом   5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настоящего   договора,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осуществить фактическое присоединение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(или)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заявителя  к  электрическим  сетям,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фактический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прием (подачу) напряжения и мощности, составить при участии заявителя акт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  осуществлении  технологического   присоединения   и     направить его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заявителю.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  Сетевая  организация  при  невыполнении  заявителем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технических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условий в согласованный  срок  и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  дату  окончания   срока их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обращению заявителя продлить срок действия технических условий. При  этом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дополнительная плата не взимается.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8. Заявитель обязуется: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технологическому присоединению в  пределах  границ  участка,  на  котором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расположены присоединяемые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устройства и  (или)  объекты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технических условиях;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после выполнения мероприятий  по  технологическому   присоединению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пределах   границ   участка   заявителя,   предусмотренных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техническими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условиями, уведомить сетевую организацию о выполнении технических условий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представить копии разделов  проектной  документации,  предусматривающих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технические решения, обеспечивающие выполнение технических условий, в том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числе решения по схеме внешнего электроснабжения (схеме  выдачи  мощности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объектов  по  производству  электрической  энергии),  релейной   защите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автоматике,  телемеханике  и  связи,  в  случае,  если  такая   проектная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документация не была представлена заявителем  в  сетевую   организацию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направления заявителем в сетевую  организацию  уведомления  о  выполнении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технических условий (если в соответствии с  законодательством  Российской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   о   градостроительной   деятельности   разработка   проектной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документации является обязательной);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принять   участие   в    осмотре    (обследовании)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присоединяемых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  и  (или)  объектов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сетевой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организацией;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после осуществления сетевой организацией фактического  присоединения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(или) 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заявителя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электрическим сетям, фактического приема (подачи) напряжения  и  мощности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подписать  акт  об  осуществлении  технологического    присоединения либо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представить мотивированный отказ от подписания в течение  ______  рабочих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дней со дня получения указанного акта от сетевой организации;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надлежащим образом исполнять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</w:t>
      </w:r>
      <w:hyperlink r:id="rId13" w:anchor="/document/187740/entry/491300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разделе  III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договора   обязательства   по   оплате   расходов   на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присоединение.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9. Заявитель  вправе  при  невыполнении  им  технических   условий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согласованный  срок  и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  дату  окончания  срока  их  действия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сетевую организацию с просьбой о  продлении  срока  действия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технических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условий.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III. Плата за технологическое присоединение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 порядок расчетов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10. Размер платы за технологическое  присоединение   определяется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4" w:anchor="/document/187740/entry/491555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5</w:t>
        </w:r>
      </w:hyperlink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 xml:space="preserve">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соответствии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решением 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органа исполнительной власти в области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государственного регулирования тарифов)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 _____________ N  _________  и  составляет  _________  рублей  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копеек.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11. Внесение платы за технологическое  присоединение  осуществляется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заявителем в следующем порядке: 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порядок и сроки внесения платы за технологическое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присоединение)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12. Датой исполнения обязательства заявителя по оплате  расходов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технологическое присоединение считается дата внесения денежных средств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кассу или на расчетный счет сетевой организации.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IV. Разграничение балансовой принадлежности </w:t>
      </w:r>
      <w:proofErr w:type="gramStart"/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электрических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сетей и эксплуатационной ответственности сторон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13. Заявитель несет балансовую и эксплуатационную ответственность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границах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своего  участка,  сетевая  организация  -  до  границ   участка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заявителя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5" w:anchor="/document/187740/entry/491666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6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V. Условия изменения, расторжения договора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 ответственность сторон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14. Настоящий договор может быть изменен по  письменному  соглашению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 или в судебном порядке.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15. Настоящий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может быть расторгнут по требованию  одной  из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сторон по основаниям,  предусмотренным  </w:t>
      </w:r>
      <w:hyperlink r:id="rId16" w:anchor="/document/10164072/entry/4502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Гражданским  кодексом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16. Заявитель вправе при нарушении сетевой организацией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указанных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настоящем договоре сроков технологического присоединения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одностороннем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расторгнуть настоящий договор.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Нарушение заявителем установленного  договором  срока  осуществления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мероприятий   по   технологическому   присоединению   (в     случае, если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техническими   условиями   предусмотрен   поэтапный   ввод    в    работу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устройств   и   (или)   объектов   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-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мероприятий, предусмотренных очередным этапом) на 12 и более месяцев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условии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что сетевой организацией в полном объеме  выполнены  мероприятия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 технологическому присоединению, срок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осуществления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которых по договору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наступает ранее нарушенного заявителем срока осуществления мероприятий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технологическому присоединению, может служить основанием для  расторжения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договора по требованию сетевой организации по решению суда.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17. Сторона договора, нарушившая срок осуществления  мероприятий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технологическому присоединению,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предусмотренный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договором, в случае, если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плата за технологическое присоединение по договору составляет 550  рублей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(1100  рублей   -   при   одновременном   технологическом   присоединении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), обязана  уплатить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другой стороне неустойку, равную 5 процентам от указанного общего размера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платы  за  технологическое  присоединение  по  договору  за   каждый день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просрочки. При этом совокупный размер такой неустойки при нарушении срока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осуществления мероприятий по технологическому присоединению заявителем не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может  превышать  размер  неустойки,   определенный   в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предусмотренном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настоящим абзацем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 год просрочки.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Сторона  договора,  нарушившая  срок  осуществления   мероприятий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технологическому присоединению,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предусмотренный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договором, в случае, если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плата за технологическое присоединение по договору превышает  550  рублей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(1100  рублей   -   при   одновременном   технологическом   присоединении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), обязана  уплатить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другой стороне неустойку,  равную  0,25  процента  от  указанного  общего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размера платы за каждый день просрочки. При этом совокупный размер  такой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неустойки   при   нарушении   срока    осуществления       мероприятий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технологическому  присоединению  заявителем  не  может  превышать  размер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неустойки,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определенный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предусмотренном настоящим  абзацем  порядке  за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год просрочки.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Сторона  договора,  нарушившая  срок  осуществления   мероприятий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технологическому  присоединению,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предусмотренный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договором,   обязана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уплатить  понесенные  другой  стороной  договора   расходы   в   размере,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определенном в судебном акте,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связанные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необходимостью  принудительного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взыскания неустойки, предусмотренной </w:t>
      </w:r>
      <w:hyperlink r:id="rId17" w:anchor="/document/187740/entry/491017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абзацем первым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</w:t>
      </w:r>
      <w:hyperlink r:id="rId18" w:anchor="/document/187740/entry/491172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вторым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пункта, в случае необоснованного уклонения либо отказа от ее уплаты.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18. За неисполнение  или  ненадлежащее  исполнение   обязательств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Российской Федерации.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19. Стороны освобождаются от ответственности за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частичное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полное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неисполнение  обязательств  по  настоящему  договору,  если  оно  явилось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следствием обстоятельств непреодолимой силы, возникших  после  подписания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сторонами настоящего договора и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оказывающих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непосредственное  воздействие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выполнение сторонами обязательств по настоящему договору.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VI. Порядок разрешения споров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20. Споры, которые могут  возникнуть  при  исполнении,   изменении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расторжении настоящего  договора,  стороны  разрешают  в   соответствии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Российской Федерации.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VII. Заключительные положения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21. Настоящий  договор  считается  заключенным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даты  поступления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подписанного  заявителем  экземпляра  настоящего   договора   в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сетевую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организацию.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22. Настоящий договор составлен  и  подписан  в  2   экземплярах,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одному для каждой из сторон.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Реквизиты сторон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Сетевая организация                       Заявитель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сетевой организации)     (для юридических лиц - полное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           наименование)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(место нахождения)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ИНН/КПП __________________________         (номер записи в Едином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      государственном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реестре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/с ______________________________            юридических лиц)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/с ______________________________   ИНН 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фамилия, имя, отчество   (должность, фамилия, имя, отчество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лица,                                лица,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действующего от имени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сетевой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действующего от имени юридического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организации)                            лица)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(место нахождения)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(для индивидуальных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предпринимателей - фамилия, имя,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отчество)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(номер записи в Едином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государственном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реестре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индивидуальных предпринимателей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дата ее внесения в реестр)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(серия, номер и дата выдачи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паспорта или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иного документа, удостоверяющего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личность в соответствии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законодательством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Федерации)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ИНН 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Место жительства 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    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(подпись)                            (подпись)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М.П.                                 М.П.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proofErr w:type="gram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одлежит указанию, если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энергопринимающее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устройство (объект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(объектов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Срок действия технических условий не может составлять менее 2 лет и более 5 лет.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кВ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Размер платы за технологическое присоединение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устройств), устанавливается органом исполнительной </w:t>
      </w:r>
      <w:proofErr w:type="gram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власти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</w:t>
      </w: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Размер платы за технологическое присоединение объектов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устанавливается органом исполнительной </w:t>
      </w:r>
      <w:proofErr w:type="gram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власти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 одновременном технологическом присоединении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и объектов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размер платы за технологическое присоединение устанавливается органом исполнительной </w:t>
      </w:r>
      <w:proofErr w:type="gram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власти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proofErr w:type="gram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Т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2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4B2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9" w:anchor="/document/187740/entry/491000" w:history="1">
        <w:r w:rsidRPr="004B27E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типовому д</w:t>
        </w:r>
        <w:r w:rsidRPr="004B27E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о</w:t>
        </w:r>
        <w:r w:rsidRPr="004B27E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говору</w:t>
        </w:r>
      </w:hyperlink>
      <w:r w:rsidRPr="004B2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 осуществлении технологического</w:t>
      </w:r>
      <w:r w:rsidRPr="004B2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присоединения к электрическим сетям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ТЕХНИЧЕСКИЕ УСЛОВИЯ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r w:rsidRPr="004B27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для присоединения к электрическим сетям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(для юридических лиц или индивидуальных предпринимателей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в целях технологического присоединения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устройств, максимальная мощность которых составляет до 15 кВт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включительно (с учетом ранее присоединенных в данной точке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присоединения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и (или) 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N                                           "_____" __________ 20___ г.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(наименование сетевой организации, выдавшей технические условия)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заявителя - юридического лица; фамилия, имя,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отчество заявителя - индивидуального предпринимателя)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Наименование   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устройств      заявителя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Наименование        объектов     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заявителя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  Наименование   и   место   нахождения         объектов, в целях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электроснабжения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которых  осуществляется  технологическое  присоединение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(или) 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заявителя, 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Максимальная мощность присоединяемых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заявителя составляет _______________________________ (кВт).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(если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энергопринимающее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устройство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вводится в эксплуатацию по этапам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и очередям, указывается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поэтапное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распределение мощности)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 Максимальная  мощность  присоединяемых  объектов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заявителя составляет __________________________ (кВт).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(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сли объекты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вводятся в эксплуатацию по этапам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очередям, указывается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поэтапное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распределение мощности)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Категория надежности 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 Класс напряжения электрических сетей,  к  которым  осуществляется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технологическое присоединение, ________________ (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8. Год ввода в  эксплуатацию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  и  (или)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 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9.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Точка   (точки)   присоединения   (вводные    распределительные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устройства, линии  электропередачи,  базовые  подстанции,   генераторы)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максимальная  мощность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  по     каждой точке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присоединения ______________ (кВт).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10.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Точка   (точки)   присоединения   (вводные   распределительные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устройства, линии  электропередачи,  базовые  подстанции,   генераторы) и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максимальная   мощность   объектов  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    каждой точке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присоединения _____________ (кВт).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11. Основной источник питания 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12. Резервный источник питания 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13. Сетевая организация осуществляет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0" w:anchor="/document/187740/entry/4911111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1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требования к усилению существующей электрической сети 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связи с присоединением новых мощностей (строительство новых линий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электропередачи, подстанций, увеличение сечения проводов и кабелей,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замена или увеличение мощности трансформаторов, расширение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распределительных устройств, модернизация оборудования, реконструкция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объектов электросетевого хозяйства, установка устройств регулирования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напряжения для обеспечения надежности и качества электрической энергии,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случае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присоединения объектов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указываются также требования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обеспечению технического ограничения выдачи электрической энергии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сеть с максимальной мощностью, не превышающей величину максимальной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мощности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потребителя электрической энергии,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которому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принадлежат на праве собственности или на ином законном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основании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объекты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 составляющей не более 15 кВт, а также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договоренности сторон иные обязанности по исполнению технических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условий,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предусмотренные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21" w:anchor="/document/187740/entry/4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пункта</w:t>
        </w:r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м</w:t>
        </w:r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и 25</w:t>
        </w:r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 1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</w:t>
      </w:r>
      <w:hyperlink r:id="rId22" w:anchor="/document/187740/entry/1256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25</w:t>
        </w:r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 6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</w:t>
      </w:r>
      <w:hyperlink r:id="rId23" w:anchor="/document/187740/entry/1257" w:history="1">
        <w:r w:rsidRPr="004B27E8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25</w:t>
        </w:r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 7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Правил технологического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присоединения </w:t>
      </w:r>
      <w:proofErr w:type="spell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потребителей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электрической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энергии, объектов по производству электрической энергии, а также объектов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электросетевого хозяйства,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принадлежащих</w:t>
      </w:r>
      <w:proofErr w:type="gramEnd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сетевым организациям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и иным лицам, к электрическим сетям)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14. Заявитель осуществляет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4" w:anchor="/document/187740/entry/4911222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</w:t>
        </w:r>
      </w:hyperlink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15. Срок действия настоящих технических условий  составляет  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года (лет)</w:t>
      </w:r>
      <w:r w:rsidRPr="004B27E8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5" w:anchor="/document/187740/entry/4911333" w:history="1">
        <w:r w:rsidRPr="004B27E8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3</w:t>
        </w:r>
      </w:hyperlink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 дня заключения договора об осуществлении  технологического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присоединения к электрическим сетям.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(подпись)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____________________________________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действующего от имени </w:t>
      </w:r>
      <w:proofErr w:type="gramStart"/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сетевой</w:t>
      </w:r>
      <w:proofErr w:type="gramEnd"/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организации)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"_____" __________________ 20__ г.</w:t>
      </w:r>
    </w:p>
    <w:p w:rsidR="004B27E8" w:rsidRPr="004B27E8" w:rsidRDefault="004B27E8" w:rsidP="004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B2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proofErr w:type="gram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и (или) объекты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заявителя, включая урегулирование отношений с иными лицами.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proofErr w:type="gram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</w:t>
      </w:r>
      <w:proofErr w:type="gram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устройства и (или) объекты </w:t>
      </w:r>
      <w:proofErr w:type="spellStart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микрогенерации</w:t>
      </w:r>
      <w:proofErr w:type="spellEnd"/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4B27E8" w:rsidRPr="004B27E8" w:rsidRDefault="004B27E8" w:rsidP="004B2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27E8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4B27E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Срок действия технических условий не может составлять менее 2 лет и более 5 лет.</w:t>
      </w:r>
    </w:p>
    <w:p w:rsidR="00DD55FA" w:rsidRDefault="00DD55FA"/>
    <w:sectPr w:rsidR="00D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2"/>
    <w:rsid w:val="004B27E8"/>
    <w:rsid w:val="00993B72"/>
    <w:rsid w:val="00DD55FA"/>
    <w:rsid w:val="00E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0">
    <w:name w:val="s_10"/>
    <w:basedOn w:val="DefaultParagraphFont"/>
    <w:rsid w:val="004B27E8"/>
  </w:style>
  <w:style w:type="character" w:styleId="Hyperlink">
    <w:name w:val="Hyperlink"/>
    <w:basedOn w:val="DefaultParagraphFont"/>
    <w:uiPriority w:val="99"/>
    <w:semiHidden/>
    <w:unhideWhenUsed/>
    <w:rsid w:val="004B2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0">
    <w:name w:val="s_10"/>
    <w:basedOn w:val="DefaultParagraphFont"/>
    <w:rsid w:val="004B27E8"/>
  </w:style>
  <w:style w:type="character" w:styleId="Hyperlink">
    <w:name w:val="Hyperlink"/>
    <w:basedOn w:val="DefaultParagraphFont"/>
    <w:uiPriority w:val="99"/>
    <w:semiHidden/>
    <w:unhideWhenUsed/>
    <w:rsid w:val="004B2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4345</Words>
  <Characters>24773</Characters>
  <Application>Microsoft Office Word</Application>
  <DocSecurity>0</DocSecurity>
  <Lines>206</Lines>
  <Paragraphs>58</Paragraphs>
  <ScaleCrop>false</ScaleCrop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2022-02-15T09:47:00Z</dcterms:created>
  <dcterms:modified xsi:type="dcterms:W3CDTF">2022-02-15T09:48:00Z</dcterms:modified>
</cp:coreProperties>
</file>